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F68" w:rsidRDefault="00486829" w:rsidP="00486829">
      <w:pPr>
        <w:pStyle w:val="NormalWeb"/>
        <w:rPr>
          <w:b/>
          <w:sz w:val="28"/>
          <w:szCs w:val="28"/>
        </w:rPr>
      </w:pPr>
      <w:r w:rsidRPr="003C1F68">
        <w:rPr>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20-1</w:t>
      </w:r>
      <w:r w:rsidR="00726536">
        <w:rPr>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0</w:t>
      </w:r>
      <w:r w:rsidR="00742142">
        <w:rPr>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8</w:t>
      </w:r>
      <w:r w:rsidRPr="003C1F68">
        <w:rPr>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r w:rsidR="00C93407">
        <w:rPr>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1</w:t>
      </w:r>
      <w:r w:rsidRPr="00486829">
        <w:rPr>
          <w:b/>
          <w:sz w:val="28"/>
          <w:szCs w:val="28"/>
        </w:rPr>
        <w:t xml:space="preserve">. </w:t>
      </w:r>
      <w:r w:rsidR="00726536">
        <w:rPr>
          <w:b/>
          <w:sz w:val="28"/>
          <w:szCs w:val="28"/>
        </w:rPr>
        <w:tab/>
      </w:r>
      <w:r w:rsidR="00742142">
        <w:rPr>
          <w:b/>
          <w:sz w:val="28"/>
          <w:szCs w:val="28"/>
        </w:rPr>
        <w:t>CHILD</w:t>
      </w:r>
      <w:r w:rsidR="00C93407">
        <w:rPr>
          <w:b/>
          <w:sz w:val="28"/>
          <w:szCs w:val="28"/>
        </w:rPr>
        <w:t xml:space="preserve"> </w:t>
      </w:r>
      <w:r w:rsidR="00726536">
        <w:rPr>
          <w:b/>
          <w:sz w:val="28"/>
          <w:szCs w:val="28"/>
        </w:rPr>
        <w:t>SUPPORT</w:t>
      </w:r>
      <w:r w:rsidR="003C1F68">
        <w:rPr>
          <w:b/>
          <w:sz w:val="28"/>
          <w:szCs w:val="28"/>
        </w:rPr>
        <w:t xml:space="preserve"> FACTORS</w:t>
      </w:r>
    </w:p>
    <w:p w:rsidR="00C93407" w:rsidRPr="00D44B77" w:rsidRDefault="003C1F68" w:rsidP="00C93407">
      <w:pPr>
        <w:pStyle w:val="NormalWeb"/>
        <w:spacing w:line="348" w:lineRule="atLeast"/>
        <w:rPr>
          <w:b/>
          <w:color w:val="444444"/>
        </w:rPr>
      </w:pPr>
      <w:r w:rsidRPr="00D44B77">
        <w:rPr>
          <w:b/>
        </w:rPr>
        <w:t xml:space="preserve">You should provide all relevant information to your attorney </w:t>
      </w:r>
      <w:r w:rsidR="00742142">
        <w:rPr>
          <w:b/>
        </w:rPr>
        <w:t>on the following factors that the court must consider in the determination of child support:</w:t>
      </w:r>
    </w:p>
    <w:p w:rsidR="00C93407" w:rsidRPr="00C93407" w:rsidRDefault="00C93407" w:rsidP="00C93407">
      <w:pPr>
        <w:pStyle w:val="NormalWeb"/>
        <w:spacing w:line="348" w:lineRule="atLeast"/>
        <w:rPr>
          <w:rFonts w:ascii="PT Serif" w:hAnsi="PT Serif"/>
          <w:color w:val="444444"/>
        </w:rPr>
      </w:pPr>
      <w:r>
        <w:rPr>
          <w:rFonts w:ascii="PT Serif" w:hAnsi="PT Serif"/>
          <w:color w:val="444444"/>
        </w:rPr>
        <w:t xml:space="preserve">1.  </w:t>
      </w:r>
      <w:r w:rsidRPr="00C93407">
        <w:rPr>
          <w:rFonts w:ascii="PT Serif" w:hAnsi="PT Serif"/>
          <w:color w:val="444444"/>
        </w:rPr>
        <w:t>The obligations, needs and financial resources of the parties, including but not limited to income from all pension, profit sharing or retirement plans, of whatever nature;</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2. The standard of living established du</w:t>
      </w:r>
      <w:bookmarkStart w:id="0" w:name="_GoBack"/>
      <w:bookmarkEnd w:id="0"/>
      <w:r w:rsidRPr="00C93407">
        <w:rPr>
          <w:rFonts w:ascii="PT Serif" w:hAnsi="PT Serif"/>
          <w:color w:val="444444"/>
        </w:rPr>
        <w:t>ring the marriage;</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3. The duration of the marriage;</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4. The age and physical and mental condition of the parties and any special circumstances of the family;</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5. The extent to which the age, physical or mental condition or special circumstances of any child of the parties would make it appropriate that a party not seek employment outside of the home;</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6. The contributions, monetary and nonmonetary, of each party to the well-being of the family;</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 xml:space="preserve">7. The property interests of the parties, </w:t>
      </w:r>
      <w:proofErr w:type="gramStart"/>
      <w:r w:rsidRPr="00C93407">
        <w:rPr>
          <w:rFonts w:ascii="PT Serif" w:hAnsi="PT Serif"/>
          <w:color w:val="444444"/>
        </w:rPr>
        <w:t>both real</w:t>
      </w:r>
      <w:proofErr w:type="gramEnd"/>
      <w:r w:rsidRPr="00C93407">
        <w:rPr>
          <w:rFonts w:ascii="PT Serif" w:hAnsi="PT Serif"/>
          <w:color w:val="444444"/>
        </w:rPr>
        <w:t xml:space="preserve"> and personal, tangible and intangible;</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 xml:space="preserve">8. The provisions made with regard to the marital property under § </w:t>
      </w:r>
      <w:hyperlink r:id="rId7" w:history="1">
        <w:r w:rsidRPr="00C93407">
          <w:rPr>
            <w:rStyle w:val="Hyperlink"/>
            <w:rFonts w:ascii="PT Serif" w:hAnsi="PT Serif"/>
          </w:rPr>
          <w:t>20-107.3</w:t>
        </w:r>
      </w:hyperlink>
      <w:r w:rsidRPr="00C93407">
        <w:rPr>
          <w:rFonts w:ascii="PT Serif" w:hAnsi="PT Serif"/>
          <w:color w:val="444444"/>
        </w:rPr>
        <w:t>;</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9. The earning capacity, including the skills, education and training of the parties and the present employment opportunities for persons possessing such earning capacity;</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10. The opportunity for, ability of, and the time and costs involved for a party to acquire the appropriate education, training and employment to obtain the skills needed to enhance his or her earning ability;</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11. The decisions regarding employment, career, economics, education and parenting arrangements made by the parties during the marriage and their effect on present and future earning potential, including the length of time one or both of the parties have been absent from the job market;</w:t>
      </w:r>
    </w:p>
    <w:p w:rsidR="00C93407" w:rsidRDefault="00C93407" w:rsidP="00C93407">
      <w:pPr>
        <w:pStyle w:val="NormalWeb"/>
        <w:spacing w:line="348" w:lineRule="atLeast"/>
        <w:rPr>
          <w:rFonts w:ascii="PT Serif" w:hAnsi="PT Serif"/>
          <w:color w:val="444444"/>
        </w:rPr>
      </w:pPr>
      <w:r w:rsidRPr="00C93407">
        <w:rPr>
          <w:rFonts w:ascii="PT Serif" w:hAnsi="PT Serif"/>
          <w:color w:val="444444"/>
        </w:rPr>
        <w:t>12. The extent to which either party has contributed to the attainment of education, training, career position or profession of the other party; and</w:t>
      </w:r>
    </w:p>
    <w:p w:rsidR="00C93407" w:rsidRDefault="00C93407" w:rsidP="00C93407">
      <w:pPr>
        <w:pStyle w:val="NormalWeb"/>
        <w:spacing w:line="348" w:lineRule="atLeast"/>
        <w:rPr>
          <w:rFonts w:ascii="PT Serif" w:hAnsi="PT Serif"/>
          <w:color w:val="444444"/>
        </w:rPr>
      </w:pPr>
      <w:r w:rsidRPr="00C93407">
        <w:rPr>
          <w:rFonts w:ascii="PT Serif" w:hAnsi="PT Serif"/>
          <w:color w:val="444444"/>
        </w:rPr>
        <w:t>13. Such other factors, including the tax consequences to each party and the circumstances and factors that contributed to the dissolution, specifically including any ground for divorce, as are necessary to consider the equities between the parties.</w:t>
      </w:r>
    </w:p>
    <w:sectPr w:rsidR="00C93407" w:rsidSect="00C93407">
      <w:headerReference w:type="default" r:id="rId8"/>
      <w:pgSz w:w="12240" w:h="15840"/>
      <w:pgMar w:top="810" w:right="900" w:bottom="360"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DAF" w:rsidRDefault="00973DAF" w:rsidP="00973DAF">
      <w:pPr>
        <w:spacing w:after="0" w:line="240" w:lineRule="auto"/>
      </w:pPr>
      <w:r>
        <w:separator/>
      </w:r>
    </w:p>
  </w:endnote>
  <w:endnote w:type="continuationSeparator" w:id="0">
    <w:p w:rsidR="00973DAF" w:rsidRDefault="00973DAF" w:rsidP="00973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erif">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DAF" w:rsidRDefault="00973DAF" w:rsidP="00973DAF">
      <w:pPr>
        <w:spacing w:after="0" w:line="240" w:lineRule="auto"/>
      </w:pPr>
      <w:r>
        <w:separator/>
      </w:r>
    </w:p>
  </w:footnote>
  <w:footnote w:type="continuationSeparator" w:id="0">
    <w:p w:rsidR="00973DAF" w:rsidRDefault="00973DAF" w:rsidP="00973D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DAF" w:rsidRDefault="00973DAF" w:rsidP="00973DAF">
    <w:pPr>
      <w:pStyle w:val="Header"/>
      <w:jc w:val="center"/>
    </w:pPr>
    <w:r>
      <w:rPr>
        <w:noProof/>
      </w:rPr>
      <w:drawing>
        <wp:inline distT="0" distB="0" distL="0" distR="0" wp14:anchorId="2762D35F" wp14:editId="1553ADFE">
          <wp:extent cx="2532790" cy="701040"/>
          <wp:effectExtent l="0" t="0" r="1270" b="3810"/>
          <wp:docPr id="2" name="Picture 2" descr="farrel 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rel 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2790" cy="701040"/>
                  </a:xfrm>
                  <a:prstGeom prst="rect">
                    <a:avLst/>
                  </a:prstGeom>
                  <a:noFill/>
                  <a:ln>
                    <a:noFill/>
                  </a:ln>
                </pic:spPr>
              </pic:pic>
            </a:graphicData>
          </a:graphic>
        </wp:inline>
      </w:drawing>
    </w:r>
  </w:p>
  <w:p w:rsidR="00973DAF" w:rsidRDefault="00973D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829"/>
    <w:rsid w:val="00032B5F"/>
    <w:rsid w:val="000C1EAC"/>
    <w:rsid w:val="000C2378"/>
    <w:rsid w:val="0012003C"/>
    <w:rsid w:val="001377DF"/>
    <w:rsid w:val="001577F0"/>
    <w:rsid w:val="001644AF"/>
    <w:rsid w:val="00166444"/>
    <w:rsid w:val="00184C64"/>
    <w:rsid w:val="001978CD"/>
    <w:rsid w:val="001B7B7F"/>
    <w:rsid w:val="001C3C74"/>
    <w:rsid w:val="001D1F19"/>
    <w:rsid w:val="001E7EB2"/>
    <w:rsid w:val="00210D93"/>
    <w:rsid w:val="00254F24"/>
    <w:rsid w:val="00255544"/>
    <w:rsid w:val="00255D8A"/>
    <w:rsid w:val="002C6015"/>
    <w:rsid w:val="002F7061"/>
    <w:rsid w:val="00354E44"/>
    <w:rsid w:val="0036579F"/>
    <w:rsid w:val="003876FD"/>
    <w:rsid w:val="003913C9"/>
    <w:rsid w:val="003A1682"/>
    <w:rsid w:val="003C1F68"/>
    <w:rsid w:val="003F2277"/>
    <w:rsid w:val="00421784"/>
    <w:rsid w:val="004238A8"/>
    <w:rsid w:val="00486829"/>
    <w:rsid w:val="004D6E40"/>
    <w:rsid w:val="004D7D4C"/>
    <w:rsid w:val="00507D7D"/>
    <w:rsid w:val="005425AF"/>
    <w:rsid w:val="00574C9D"/>
    <w:rsid w:val="005C5293"/>
    <w:rsid w:val="005D25E1"/>
    <w:rsid w:val="00681130"/>
    <w:rsid w:val="006B3E5B"/>
    <w:rsid w:val="00702E6B"/>
    <w:rsid w:val="007033D7"/>
    <w:rsid w:val="00726536"/>
    <w:rsid w:val="00730B04"/>
    <w:rsid w:val="00742142"/>
    <w:rsid w:val="00773630"/>
    <w:rsid w:val="00786604"/>
    <w:rsid w:val="007C68F2"/>
    <w:rsid w:val="007D580A"/>
    <w:rsid w:val="007E067C"/>
    <w:rsid w:val="00816131"/>
    <w:rsid w:val="00861CB8"/>
    <w:rsid w:val="00872819"/>
    <w:rsid w:val="00882AB0"/>
    <w:rsid w:val="008A236C"/>
    <w:rsid w:val="008A6F9B"/>
    <w:rsid w:val="008B718A"/>
    <w:rsid w:val="008C565D"/>
    <w:rsid w:val="008D24C2"/>
    <w:rsid w:val="008F3FC3"/>
    <w:rsid w:val="00921C6B"/>
    <w:rsid w:val="00963113"/>
    <w:rsid w:val="00973DAF"/>
    <w:rsid w:val="009854F2"/>
    <w:rsid w:val="00991439"/>
    <w:rsid w:val="009A0BDA"/>
    <w:rsid w:val="00A13657"/>
    <w:rsid w:val="00A85696"/>
    <w:rsid w:val="00AA2100"/>
    <w:rsid w:val="00B018E1"/>
    <w:rsid w:val="00B339CC"/>
    <w:rsid w:val="00BD357C"/>
    <w:rsid w:val="00BD6959"/>
    <w:rsid w:val="00C2045C"/>
    <w:rsid w:val="00C72C59"/>
    <w:rsid w:val="00C93407"/>
    <w:rsid w:val="00CA1D70"/>
    <w:rsid w:val="00CB6870"/>
    <w:rsid w:val="00CC247F"/>
    <w:rsid w:val="00CE0350"/>
    <w:rsid w:val="00CE7860"/>
    <w:rsid w:val="00D143FB"/>
    <w:rsid w:val="00D35B4A"/>
    <w:rsid w:val="00D44B77"/>
    <w:rsid w:val="00DB0FDC"/>
    <w:rsid w:val="00DC630F"/>
    <w:rsid w:val="00E53C91"/>
    <w:rsid w:val="00E642CB"/>
    <w:rsid w:val="00EF3D0D"/>
    <w:rsid w:val="00F17807"/>
    <w:rsid w:val="00F80578"/>
    <w:rsid w:val="00F87F4F"/>
    <w:rsid w:val="00FA6454"/>
    <w:rsid w:val="00FC3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68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86829"/>
    <w:rPr>
      <w:color w:val="0000FF"/>
      <w:u w:val="single"/>
    </w:rPr>
  </w:style>
  <w:style w:type="paragraph" w:styleId="BalloonText">
    <w:name w:val="Balloon Text"/>
    <w:basedOn w:val="Normal"/>
    <w:link w:val="BalloonTextChar"/>
    <w:uiPriority w:val="99"/>
    <w:semiHidden/>
    <w:unhideWhenUsed/>
    <w:rsid w:val="00486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829"/>
    <w:rPr>
      <w:rFonts w:ascii="Tahoma" w:hAnsi="Tahoma" w:cs="Tahoma"/>
      <w:sz w:val="16"/>
      <w:szCs w:val="16"/>
    </w:rPr>
  </w:style>
  <w:style w:type="paragraph" w:styleId="Header">
    <w:name w:val="header"/>
    <w:basedOn w:val="Normal"/>
    <w:link w:val="HeaderChar"/>
    <w:uiPriority w:val="99"/>
    <w:unhideWhenUsed/>
    <w:rsid w:val="00973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DAF"/>
  </w:style>
  <w:style w:type="paragraph" w:styleId="Footer">
    <w:name w:val="footer"/>
    <w:basedOn w:val="Normal"/>
    <w:link w:val="FooterChar"/>
    <w:uiPriority w:val="99"/>
    <w:unhideWhenUsed/>
    <w:rsid w:val="00973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D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68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86829"/>
    <w:rPr>
      <w:color w:val="0000FF"/>
      <w:u w:val="single"/>
    </w:rPr>
  </w:style>
  <w:style w:type="paragraph" w:styleId="BalloonText">
    <w:name w:val="Balloon Text"/>
    <w:basedOn w:val="Normal"/>
    <w:link w:val="BalloonTextChar"/>
    <w:uiPriority w:val="99"/>
    <w:semiHidden/>
    <w:unhideWhenUsed/>
    <w:rsid w:val="00486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829"/>
    <w:rPr>
      <w:rFonts w:ascii="Tahoma" w:hAnsi="Tahoma" w:cs="Tahoma"/>
      <w:sz w:val="16"/>
      <w:szCs w:val="16"/>
    </w:rPr>
  </w:style>
  <w:style w:type="paragraph" w:styleId="Header">
    <w:name w:val="header"/>
    <w:basedOn w:val="Normal"/>
    <w:link w:val="HeaderChar"/>
    <w:uiPriority w:val="99"/>
    <w:unhideWhenUsed/>
    <w:rsid w:val="00973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DAF"/>
  </w:style>
  <w:style w:type="paragraph" w:styleId="Footer">
    <w:name w:val="footer"/>
    <w:basedOn w:val="Normal"/>
    <w:link w:val="FooterChar"/>
    <w:uiPriority w:val="99"/>
    <w:unhideWhenUsed/>
    <w:rsid w:val="00973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985215">
      <w:bodyDiv w:val="1"/>
      <w:marLeft w:val="0"/>
      <w:marRight w:val="0"/>
      <w:marTop w:val="0"/>
      <w:marBottom w:val="0"/>
      <w:divBdr>
        <w:top w:val="none" w:sz="0" w:space="0" w:color="auto"/>
        <w:left w:val="none" w:sz="0" w:space="0" w:color="auto"/>
        <w:bottom w:val="none" w:sz="0" w:space="0" w:color="auto"/>
        <w:right w:val="none" w:sz="0" w:space="0" w:color="auto"/>
      </w:divBdr>
      <w:divsChild>
        <w:div w:id="391199642">
          <w:marLeft w:val="0"/>
          <w:marRight w:val="0"/>
          <w:marTop w:val="0"/>
          <w:marBottom w:val="0"/>
          <w:divBdr>
            <w:top w:val="none" w:sz="0" w:space="0" w:color="auto"/>
            <w:left w:val="none" w:sz="0" w:space="0" w:color="auto"/>
            <w:bottom w:val="none" w:sz="0" w:space="0" w:color="auto"/>
            <w:right w:val="none" w:sz="0" w:space="0" w:color="auto"/>
          </w:divBdr>
          <w:divsChild>
            <w:div w:id="49351625">
              <w:marLeft w:val="0"/>
              <w:marRight w:val="0"/>
              <w:marTop w:val="0"/>
              <w:marBottom w:val="120"/>
              <w:divBdr>
                <w:top w:val="none" w:sz="0" w:space="0" w:color="auto"/>
                <w:left w:val="none" w:sz="0" w:space="0" w:color="auto"/>
                <w:bottom w:val="none" w:sz="0" w:space="0" w:color="auto"/>
                <w:right w:val="none" w:sz="0" w:space="0" w:color="auto"/>
              </w:divBdr>
              <w:divsChild>
                <w:div w:id="1717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558661">
      <w:bodyDiv w:val="1"/>
      <w:marLeft w:val="0"/>
      <w:marRight w:val="0"/>
      <w:marTop w:val="0"/>
      <w:marBottom w:val="0"/>
      <w:divBdr>
        <w:top w:val="none" w:sz="0" w:space="0" w:color="auto"/>
        <w:left w:val="none" w:sz="0" w:space="0" w:color="auto"/>
        <w:bottom w:val="none" w:sz="0" w:space="0" w:color="auto"/>
        <w:right w:val="none" w:sz="0" w:space="0" w:color="auto"/>
      </w:divBdr>
      <w:divsChild>
        <w:div w:id="1570309496">
          <w:marLeft w:val="0"/>
          <w:marRight w:val="0"/>
          <w:marTop w:val="0"/>
          <w:marBottom w:val="0"/>
          <w:divBdr>
            <w:top w:val="none" w:sz="0" w:space="0" w:color="auto"/>
            <w:left w:val="none" w:sz="0" w:space="0" w:color="auto"/>
            <w:bottom w:val="none" w:sz="0" w:space="0" w:color="auto"/>
            <w:right w:val="none" w:sz="0" w:space="0" w:color="auto"/>
          </w:divBdr>
          <w:divsChild>
            <w:div w:id="2122458177">
              <w:marLeft w:val="0"/>
              <w:marRight w:val="0"/>
              <w:marTop w:val="0"/>
              <w:marBottom w:val="120"/>
              <w:divBdr>
                <w:top w:val="none" w:sz="0" w:space="0" w:color="auto"/>
                <w:left w:val="none" w:sz="0" w:space="0" w:color="auto"/>
                <w:bottom w:val="none" w:sz="0" w:space="0" w:color="auto"/>
                <w:right w:val="none" w:sz="0" w:space="0" w:color="auto"/>
              </w:divBdr>
              <w:divsChild>
                <w:div w:id="31722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aw.lis.virginia.gov/vacode/20-107.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AmyAshworth</cp:lastModifiedBy>
  <cp:revision>4</cp:revision>
  <cp:lastPrinted>2016-11-14T23:28:00Z</cp:lastPrinted>
  <dcterms:created xsi:type="dcterms:W3CDTF">2016-11-14T23:28:00Z</dcterms:created>
  <dcterms:modified xsi:type="dcterms:W3CDTF">2016-11-15T16:44:00Z</dcterms:modified>
</cp:coreProperties>
</file>